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_GB2312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kern w:val="0"/>
          <w:sz w:val="30"/>
          <w:szCs w:val="30"/>
          <w:lang w:val="en-US" w:eastAsia="zh-CN"/>
        </w:rPr>
        <w:t>附件3.</w:t>
      </w:r>
    </w:p>
    <w:p>
      <w:pPr>
        <w:rPr>
          <w:rFonts w:ascii="仿宋" w:hAnsi="仿宋" w:eastAsia="仿宋" w:cs="仿宋_GB2312"/>
          <w:kern w:val="0"/>
          <w:sz w:val="30"/>
          <w:szCs w:val="30"/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202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黑体"/>
          <w:b/>
          <w:sz w:val="36"/>
          <w:szCs w:val="36"/>
        </w:rPr>
        <w:t>第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七</w:t>
      </w:r>
      <w:r>
        <w:rPr>
          <w:rFonts w:hint="eastAsia" w:ascii="仿宋" w:hAnsi="仿宋" w:eastAsia="仿宋" w:cs="黑体"/>
          <w:b/>
          <w:sz w:val="36"/>
          <w:szCs w:val="36"/>
        </w:rPr>
        <w:t>届一带一路暨金砖国家技能发展与</w:t>
      </w:r>
    </w:p>
    <w:p>
      <w:pPr>
        <w:snapToGrid w:val="0"/>
        <w:spacing w:line="540" w:lineRule="exact"/>
        <w:jc w:val="center"/>
        <w:rPr>
          <w:rFonts w:hint="eastAsia"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技术创新大赛赛项申报书</w:t>
      </w:r>
    </w:p>
    <w:p>
      <w:pPr>
        <w:snapToGrid w:val="0"/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赛项名称：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方向聚焦或带有应用领域，不宜过于宽泛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）   </w:t>
      </w: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>赛项组别：</w:t>
      </w:r>
      <w:r>
        <w:rPr>
          <w:rFonts w:ascii="仿宋" w:hAnsi="仿宋" w:eastAsia="仿宋"/>
          <w:sz w:val="28"/>
          <w:szCs w:val="28"/>
        </w:rPr>
        <w:t>中职组□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高职</w:t>
      </w:r>
      <w:r>
        <w:rPr>
          <w:rFonts w:ascii="仿宋" w:hAnsi="仿宋" w:eastAsia="仿宋"/>
          <w:sz w:val="28"/>
          <w:szCs w:val="28"/>
        </w:rPr>
        <w:t>组□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本科组□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教师或职工组</w:t>
      </w:r>
      <w:r>
        <w:rPr>
          <w:rFonts w:ascii="仿宋" w:hAnsi="仿宋" w:eastAsia="仿宋"/>
          <w:sz w:val="28"/>
          <w:szCs w:val="28"/>
        </w:rPr>
        <w:t>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国际</w:t>
      </w:r>
      <w:r>
        <w:rPr>
          <w:rFonts w:ascii="仿宋" w:hAnsi="仿宋" w:eastAsia="仿宋"/>
          <w:sz w:val="28"/>
          <w:szCs w:val="28"/>
        </w:rPr>
        <w:t>组□</w:t>
      </w:r>
    </w:p>
    <w:p>
      <w:pPr>
        <w:snapToGrid w:val="0"/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组别根据参赛队覆盖对象可以合并，比如学生组包含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（中职、高职、本科，或者高校组包含（高职、本科）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赛项归属产业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方案设计专家组组长：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</w:p>
    <w:p>
      <w:pPr>
        <w:snapToGrid w:val="0"/>
        <w:spacing w:line="360" w:lineRule="auto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专家组组长手机：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方案</w:t>
      </w:r>
      <w:r>
        <w:rPr>
          <w:rFonts w:ascii="仿宋" w:hAnsi="仿宋" w:eastAsia="仿宋"/>
          <w:sz w:val="32"/>
          <w:szCs w:val="32"/>
        </w:rPr>
        <w:t>申报单位（盖章）：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方案申报负责人：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手机：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邮</w:t>
      </w:r>
      <w:r>
        <w:rPr>
          <w:rFonts w:hint="eastAsia" w:ascii="仿宋" w:hAnsi="仿宋" w:eastAsia="仿宋"/>
          <w:sz w:val="32"/>
          <w:szCs w:val="32"/>
        </w:rPr>
        <w:t>箱号码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通讯地址：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邮政编码：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213" w:right="1689" w:bottom="1213" w:left="1689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t>申报日期：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赛项名称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赛项申报专家组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(不超10人)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赛项设计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可行性分析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赛项方案的特色与创新点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选拔、决赛规模预计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赛项</w:t>
      </w:r>
      <w:r>
        <w:rPr>
          <w:rFonts w:hint="eastAsia" w:ascii="仿宋" w:hAnsi="仿宋" w:eastAsia="仿宋" w:cs="仿宋"/>
          <w:sz w:val="32"/>
          <w:szCs w:val="32"/>
        </w:rPr>
        <w:t>工作进度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举办地点、竞赛时间、比赛流程安排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经费概算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样题和</w:t>
      </w:r>
      <w:r>
        <w:rPr>
          <w:rFonts w:hint="eastAsia" w:ascii="仿宋" w:hAnsi="仿宋" w:eastAsia="仿宋" w:cs="仿宋"/>
          <w:sz w:val="32"/>
          <w:szCs w:val="32"/>
        </w:rPr>
        <w:t>评分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裁判人员建议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相关大赛调研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技术规程（初版）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竞赛目的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竞赛试题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竞赛规则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竞赛环境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技术规范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技术平台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成绩评定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奖项设定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赛项安全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申诉与仲裁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竞赛观摩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竞赛视频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竞赛须知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 w:val="0"/>
        <w:spacing w:line="240" w:lineRule="atLeast"/>
        <w:ind w:left="420" w:leftChars="0" w:firstLine="420" w:firstLineChars="0"/>
        <w:textAlignment w:val="auto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资源转化</w:t>
      </w:r>
    </w:p>
    <w:p/>
    <w:sectPr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60" w:lineRule="auto"/>
      <w:rPr>
        <w:rFonts w:ascii="仿宋_GB2312" w:eastAsia="仿宋_GB2312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Mns3SLS&#10;AQAAowMAAA4AAAAAAAAAAQAgAAAAO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hint="eastAsia" w:ascii="华文中宋" w:hAnsi="华文中宋" w:eastAsia="华文中宋" w:cs="华文中宋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Pe76mrS&#10;AQAAowMAAA4AAAAAAAAAAQAgAAAAO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hint="eastAsia" w:ascii="华文中宋" w:hAnsi="华文中宋" w:eastAsia="华文中宋" w:cs="华文中宋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E1EA76"/>
    <w:multiLevelType w:val="singleLevel"/>
    <w:tmpl w:val="F1E1EA7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200424D0"/>
    <w:multiLevelType w:val="singleLevel"/>
    <w:tmpl w:val="200424D0"/>
    <w:lvl w:ilvl="0" w:tentative="0">
      <w:start w:val="1"/>
      <w:numFmt w:val="chineseCounting"/>
      <w:suff w:val="nothing"/>
      <w:lvlText w:val="（%1）"/>
      <w:lvlJc w:val="left"/>
      <w:pPr>
        <w:ind w:left="42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ED12B6"/>
    <w:rsid w:val="E8ED12B6"/>
    <w:rsid w:val="FE7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2023-12-27T22:38:00Z</dcterms:created>
  <dc:creator>何勇</dc:creator>
  <cp:lastModifiedBy>何勇</cp:lastModifiedBy>
  <dcterms:modified xsi:type="dcterms:W3CDTF">2023-12-27T15:02:41Z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B74B6A139A0CF7265FC68B6586C978F5_41</vt:lpwstr>
  </property>
</Properties>
</file>